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14" w:rsidRPr="00E66114" w:rsidRDefault="00E66114" w:rsidP="00E66114">
      <w:pPr>
        <w:shd w:val="clear" w:color="auto" w:fill="FFFFFF"/>
        <w:spacing w:before="120" w:after="120" w:line="270" w:lineRule="atLeast"/>
        <w:ind w:hanging="141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Извещение о проведении аукциона в электронной форме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по продаже имущества, находящегося в оперативном управлении государственного бюджетного учреждения города Москвы «</w:t>
      </w:r>
      <w:proofErr w:type="spellStart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Красносельского района» (ГБУ «</w:t>
      </w:r>
      <w:proofErr w:type="spellStart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Красносельского района»),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на электронной торговой площадке </w:t>
      </w:r>
      <w:proofErr w:type="gramStart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https://www.roseltorg.ru/  в</w:t>
      </w:r>
      <w:proofErr w:type="gramEnd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сети Интернет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Аукцион проводится в соответствии с Гражданским кодексом Российской Федерации, постановлением Правительства Москвы от 28 июня 2016 г. 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требования), распоряжения Департамента городского имущества города Москвы от 07 ноября 2019 г. № 44525 «О даче согласия ГБУ «</w:t>
      </w:r>
      <w:proofErr w:type="spellStart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Красносельского района» на совершение сделок по продаже </w:t>
      </w:r>
      <w:proofErr w:type="spellStart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машино</w:t>
      </w:r>
      <w:proofErr w:type="spellEnd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-мест» и приказа Государственного бюджетного учреждения города Москвы «</w:t>
      </w:r>
      <w:proofErr w:type="spellStart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Красносельского района » от 24 декабря 2019  №  160 «Об организации и проведении торгов в форме аукциона по реализации </w:t>
      </w:r>
      <w:proofErr w:type="spellStart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машиномест</w:t>
      </w:r>
      <w:proofErr w:type="spellEnd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находящихся в оперативном управлении  ГБУ «</w:t>
      </w:r>
      <w:proofErr w:type="spellStart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Красносельского района».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Продавец имущества – 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Государственное бюджетное учреждение города Москвы (ГБУ «</w:t>
      </w:r>
      <w:proofErr w:type="spellStart"/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Красносельского района») (107140, г. Москва, 2-й Новый пер., д. 4, сайт gbu-krasnoselskij.ru, адрес электронной почты mister.guis@yandex.ru, контактный телефон/факс +7 (499) 788-22-34.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Организатор торгов: 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Государственное бюджетное учреждение города Москвы «</w:t>
      </w:r>
      <w:proofErr w:type="spellStart"/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Красносельского района» (ГБУ «</w:t>
      </w:r>
      <w:proofErr w:type="spellStart"/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Красносельского района»)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Специализированная организация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– Государственное бюджетное учреждение города Москвы «Сервисный центр 44» (ГБУ «СЦ 44»); место нахождения: 129110, г. Москва, просп. Мира, д.48, стр.2; сайт </w:t>
      </w:r>
      <w:hyperlink r:id="rId4" w:history="1">
        <w:r w:rsidRPr="00E66114">
          <w:rPr>
            <w:rFonts w:ascii="Verdana" w:eastAsia="Times New Roman" w:hAnsi="Verdana" w:cs="Arial"/>
            <w:color w:val="024C8B"/>
            <w:sz w:val="20"/>
            <w:szCs w:val="20"/>
            <w:u w:val="single"/>
            <w:lang w:eastAsia="ru-RU"/>
          </w:rPr>
          <w:t>http://gbusc44.mos.ru</w:t>
        </w:r>
      </w:hyperlink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 адрес электронной почты: zayavleniegbu-tender@mos.ru; телефон: (495) 957-75-00, доб. 32-265; 32-267, 32-268, 32-269, +7(925) 663-77-01.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Имущество, находящееся в оперативном управлении Государственного бюджетного учреждения города Москвы «</w:t>
      </w:r>
      <w:proofErr w:type="spellStart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Жилищник</w:t>
      </w:r>
      <w:proofErr w:type="spellEnd"/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Красносельского района», выставляемое на аукцион в электронной форме по продаже имущества 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(фотографии объекта размещаются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E66114">
          <w:rPr>
            <w:rFonts w:ascii="Verdana" w:eastAsia="Times New Roman" w:hAnsi="Verdana" w:cs="Arial"/>
            <w:color w:val="024C8B"/>
            <w:sz w:val="20"/>
            <w:szCs w:val="20"/>
            <w:u w:val="single"/>
            <w:lang w:eastAsia="ru-RU"/>
          </w:rPr>
          <w:t>www.investmoscow.ru</w:t>
        </w:r>
      </w:hyperlink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по ссылкам: </w:t>
      </w:r>
      <w:hyperlink r:id="rId6" w:history="1">
        <w:r w:rsidRPr="00E66114">
          <w:rPr>
            <w:rFonts w:ascii="Verdana" w:eastAsia="Times New Roman" w:hAnsi="Verdana" w:cs="Arial"/>
            <w:color w:val="024C8B"/>
            <w:sz w:val="20"/>
            <w:szCs w:val="20"/>
            <w:u w:val="single"/>
            <w:lang w:eastAsia="ru-RU"/>
          </w:rPr>
          <w:t>https://investmoscow.ru/tenders/prodazha-mashinomest</w:t>
        </w:r>
      </w:hyperlink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</w:t>
      </w:r>
    </w:p>
    <w:tbl>
      <w:tblPr>
        <w:tblW w:w="12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890"/>
        <w:gridCol w:w="897"/>
        <w:gridCol w:w="1563"/>
        <w:gridCol w:w="2073"/>
        <w:gridCol w:w="2395"/>
        <w:gridCol w:w="1867"/>
      </w:tblGrid>
      <w:tr w:rsidR="00E66114" w:rsidRPr="00E66114" w:rsidTr="00E66114">
        <w:trPr>
          <w:trHeight w:val="18"/>
          <w:jc w:val="center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ind w:left="-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bookmarkStart w:id="0" w:name="_GoBack"/>
            <w:bookmarkEnd w:id="0"/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уг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-мест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объекта (этажность, год постройки, процент износа)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Степень технического обустройства здания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Обременение, ограничение (согласно сведениям из ЕГРН)</w:t>
            </w:r>
          </w:p>
        </w:tc>
      </w:tr>
      <w:tr w:rsidR="00E66114" w:rsidRPr="00E66114" w:rsidTr="00E66114">
        <w:trPr>
          <w:trHeight w:val="18"/>
          <w:jc w:val="center"/>
        </w:trPr>
        <w:tc>
          <w:tcPr>
            <w:tcW w:w="1375" w:type="dxa"/>
            <w:tcBorders>
              <w:top w:val="single" w:sz="6" w:space="0" w:color="D2D2D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Нежилое помещение</w:t>
            </w:r>
          </w:p>
        </w:tc>
        <w:tc>
          <w:tcPr>
            <w:tcW w:w="1890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г. Москва, </w:t>
            </w:r>
            <w:proofErr w:type="spellStart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Басманный</w:t>
            </w:r>
            <w:proofErr w:type="spellEnd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пер., д.9</w:t>
            </w:r>
          </w:p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156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07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Этажность (без учета подземных этажей) - 9; подземных этажей - 1; год постройки здания - 2007; процент износа: 0 % на 2007 г.</w:t>
            </w:r>
          </w:p>
        </w:tc>
        <w:tc>
          <w:tcPr>
            <w:tcW w:w="2395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Водопровод- централизованный; Канализация – централизованная; отопление – центральное от ТЭЦ; горячее водоснабжение – централизованное; электроснабжение - 220 В; скрытая проводка; напольные электроплиты; Лифты пассажирские – 2 шт.</w:t>
            </w:r>
          </w:p>
        </w:tc>
        <w:tc>
          <w:tcPr>
            <w:tcW w:w="186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отсутствует</w:t>
            </w:r>
          </w:p>
        </w:tc>
      </w:tr>
      <w:tr w:rsidR="00E66114" w:rsidRPr="00E66114" w:rsidTr="00E66114">
        <w:trPr>
          <w:trHeight w:val="18"/>
          <w:jc w:val="center"/>
        </w:trPr>
        <w:tc>
          <w:tcPr>
            <w:tcW w:w="1375" w:type="dxa"/>
            <w:tcBorders>
              <w:top w:val="single" w:sz="6" w:space="0" w:color="D2D2D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90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г. Москва, Докучаев пер., д.19</w:t>
            </w:r>
          </w:p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156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7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Этажность (без учета подземных этажей) - 10; подземных этажей – 2, кроме того технический этаж; год постройки здания - 2007; процент износа: 0 % на 2007 г.</w:t>
            </w:r>
          </w:p>
        </w:tc>
        <w:tc>
          <w:tcPr>
            <w:tcW w:w="2395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Водопровод- централизованный; Канализация – централизованная; отопление – центральное от ТЭЦ; горячее водоснабжение – централизованное; </w:t>
            </w:r>
            <w:proofErr w:type="spellStart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этектроснабжение</w:t>
            </w:r>
            <w:proofErr w:type="spellEnd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 - 220 В; скрытая проводка; напольные электроплиты; Лифты пассажирские – 3 шт.; Лифты грузопассажирские – 3 шт.</w:t>
            </w:r>
          </w:p>
        </w:tc>
        <w:tc>
          <w:tcPr>
            <w:tcW w:w="186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отсутствует</w:t>
            </w:r>
          </w:p>
        </w:tc>
      </w:tr>
      <w:tr w:rsidR="00E66114" w:rsidRPr="00E66114" w:rsidTr="00E66114">
        <w:trPr>
          <w:trHeight w:val="18"/>
          <w:jc w:val="center"/>
        </w:trPr>
        <w:tc>
          <w:tcPr>
            <w:tcW w:w="1375" w:type="dxa"/>
            <w:tcBorders>
              <w:top w:val="single" w:sz="6" w:space="0" w:color="D2D2D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Нежилое помещение</w:t>
            </w:r>
          </w:p>
        </w:tc>
        <w:tc>
          <w:tcPr>
            <w:tcW w:w="1890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г. Москва, ул. </w:t>
            </w:r>
            <w:proofErr w:type="spellStart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Краснопрудная</w:t>
            </w:r>
            <w:proofErr w:type="spellEnd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, д.3, стр. 3</w:t>
            </w:r>
          </w:p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156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207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Этажность (без учета подземных этажей) - 6;  кроме того надстроенный этаж; год постройки здания - 2011; процент износа: 0 % на 2011 г.</w:t>
            </w:r>
          </w:p>
        </w:tc>
        <w:tc>
          <w:tcPr>
            <w:tcW w:w="2395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Водопровод- централизованный; Канализация – централизованная; отопление – центральное от ТЭЦ; горячее водоснабжение – от колонки; электроснабжение  - 220 В; скрытая проводка.</w:t>
            </w:r>
          </w:p>
        </w:tc>
        <w:tc>
          <w:tcPr>
            <w:tcW w:w="186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Отсутствует</w:t>
            </w:r>
          </w:p>
        </w:tc>
      </w:tr>
      <w:tr w:rsidR="00E66114" w:rsidRPr="00E66114" w:rsidTr="00E66114">
        <w:trPr>
          <w:trHeight w:val="18"/>
          <w:jc w:val="center"/>
        </w:trPr>
        <w:tc>
          <w:tcPr>
            <w:tcW w:w="1375" w:type="dxa"/>
            <w:tcBorders>
              <w:top w:val="single" w:sz="6" w:space="0" w:color="D2D2D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Нежилое помещение</w:t>
            </w:r>
          </w:p>
        </w:tc>
        <w:tc>
          <w:tcPr>
            <w:tcW w:w="1890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г. Москва, ул. </w:t>
            </w:r>
            <w:proofErr w:type="spellStart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Пантелеевская</w:t>
            </w:r>
            <w:proofErr w:type="spellEnd"/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89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156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073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2395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867" w:type="dxa"/>
            <w:tcBorders>
              <w:top w:val="single" w:sz="6" w:space="0" w:color="D2D2D2"/>
              <w:left w:val="single" w:sz="6" w:space="0" w:color="D2D2D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14" w:rsidRPr="00E66114" w:rsidRDefault="00E66114" w:rsidP="00E66114">
            <w:pPr>
              <w:spacing w:before="12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6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отсутствует</w:t>
            </w:r>
          </w:p>
        </w:tc>
      </w:tr>
    </w:tbl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Окончание приема заявок на участие в аукционе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– «12» марта 2020 года в 15:00 (время МСК).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Определение участников аукциона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– «17» марта 2020 года.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Проведение аукциона</w:t>
      </w: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(дата и время начала приема предложений от участников аукциона) – «18» марта 2020 года в 10:00 (время МСК).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об итогах аукциона</w:t>
      </w:r>
    </w:p>
    <w:p w:rsidR="00E66114" w:rsidRPr="00E66114" w:rsidRDefault="00E66114" w:rsidP="00E66114">
      <w:pPr>
        <w:shd w:val="clear" w:color="auto" w:fill="FFFFFF"/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Подробная информация и документы размещены на сайтах </w:t>
      </w:r>
      <w:hyperlink r:id="rId7" w:history="1">
        <w:r w:rsidRPr="00E66114">
          <w:rPr>
            <w:rFonts w:ascii="Verdana" w:eastAsia="Times New Roman" w:hAnsi="Verdana" w:cs="Arial"/>
            <w:color w:val="024C8B"/>
            <w:sz w:val="20"/>
            <w:szCs w:val="20"/>
            <w:u w:val="single"/>
            <w:lang w:eastAsia="ru-RU"/>
          </w:rPr>
          <w:t>www.investmoscow.ru</w:t>
        </w:r>
      </w:hyperlink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8" w:history="1">
        <w:r w:rsidRPr="00E66114">
          <w:rPr>
            <w:rFonts w:ascii="Verdana" w:eastAsia="Times New Roman" w:hAnsi="Verdana" w:cs="Arial"/>
            <w:color w:val="024C8B"/>
            <w:sz w:val="20"/>
            <w:szCs w:val="20"/>
            <w:u w:val="single"/>
            <w:lang w:eastAsia="ru-RU"/>
          </w:rPr>
          <w:t>torgi.gov.ru</w:t>
        </w:r>
      </w:hyperlink>
      <w:r w:rsidRPr="00E66114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 </w:t>
      </w:r>
      <w:hyperlink r:id="rId9" w:history="1">
        <w:r w:rsidRPr="00E66114">
          <w:rPr>
            <w:rFonts w:ascii="Verdana" w:eastAsia="Times New Roman" w:hAnsi="Verdana" w:cs="Arial"/>
            <w:color w:val="024C8B"/>
            <w:sz w:val="20"/>
            <w:szCs w:val="20"/>
            <w:u w:val="single"/>
            <w:lang w:eastAsia="ru-RU"/>
          </w:rPr>
          <w:t>www.roseltorg.ru.</w:t>
        </w:r>
      </w:hyperlink>
    </w:p>
    <w:p w:rsidR="00B24D84" w:rsidRDefault="00B24D84" w:rsidP="00E66114">
      <w:pPr>
        <w:ind w:left="-993" w:firstLine="993"/>
      </w:pPr>
    </w:p>
    <w:sectPr w:rsidR="00B2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C1"/>
    <w:rsid w:val="007575C1"/>
    <w:rsid w:val="00B24D84"/>
    <w:rsid w:val="00E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9065-D6CA-4A53-B405-D8CD50A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estmoscow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moscow.ru/tenders/prodazha-mashinome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vestmoscow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busc44.mos.ru/" TargetMode="External"/><Relationship Id="rId9" Type="http://schemas.openxmlformats.org/officeDocument/2006/relationships/hyperlink" Target="http://www.roseltorg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Dogovor03</dc:creator>
  <cp:keywords/>
  <dc:description/>
  <cp:lastModifiedBy>Dogovor03</cp:lastModifiedBy>
  <cp:revision>2</cp:revision>
  <dcterms:created xsi:type="dcterms:W3CDTF">2020-01-21T09:44:00Z</dcterms:created>
  <dcterms:modified xsi:type="dcterms:W3CDTF">2020-01-21T09:44:00Z</dcterms:modified>
</cp:coreProperties>
</file>